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4E0" w:rsidRDefault="005104E0" w:rsidP="005104E0">
      <w:pPr>
        <w:jc w:val="center"/>
        <w:rPr>
          <w:b/>
          <w:bCs/>
          <w:sz w:val="72"/>
          <w:szCs w:val="72"/>
          <w:lang w:val="en-GB"/>
        </w:rPr>
      </w:pPr>
    </w:p>
    <w:p w:rsidR="005104E0" w:rsidRDefault="005104E0" w:rsidP="005104E0">
      <w:pPr>
        <w:jc w:val="center"/>
        <w:rPr>
          <w:b/>
          <w:bCs/>
          <w:sz w:val="72"/>
          <w:szCs w:val="72"/>
          <w:lang w:val="en-GB"/>
        </w:rPr>
      </w:pPr>
    </w:p>
    <w:p w:rsidR="005104E0" w:rsidRDefault="005104E0" w:rsidP="005104E0">
      <w:pPr>
        <w:jc w:val="center"/>
        <w:rPr>
          <w:b/>
          <w:bCs/>
          <w:sz w:val="72"/>
          <w:szCs w:val="72"/>
          <w:lang w:val="en-GB"/>
        </w:rPr>
      </w:pPr>
      <w:r w:rsidRPr="005104E0">
        <w:rPr>
          <w:b/>
          <w:bCs/>
          <w:sz w:val="72"/>
          <w:szCs w:val="72"/>
          <w:lang w:val="en-GB"/>
        </w:rPr>
        <w:t>TRBONET Plus</w:t>
      </w:r>
    </w:p>
    <w:p w:rsidR="005104E0" w:rsidRPr="005104E0" w:rsidRDefault="005104E0" w:rsidP="005104E0">
      <w:pPr>
        <w:jc w:val="center"/>
        <w:rPr>
          <w:b/>
          <w:bCs/>
          <w:sz w:val="72"/>
          <w:szCs w:val="72"/>
          <w:lang w:val="en-GB"/>
        </w:rPr>
      </w:pPr>
    </w:p>
    <w:p w:rsidR="005104E0" w:rsidRPr="005104E0" w:rsidRDefault="005104E0" w:rsidP="005104E0">
      <w:pPr>
        <w:jc w:val="center"/>
        <w:rPr>
          <w:b/>
          <w:bCs/>
          <w:sz w:val="72"/>
          <w:szCs w:val="72"/>
          <w:lang w:val="en-GB"/>
        </w:rPr>
      </w:pPr>
      <w:r w:rsidRPr="005104E0">
        <w:rPr>
          <w:b/>
          <w:bCs/>
          <w:sz w:val="72"/>
          <w:szCs w:val="72"/>
          <w:lang w:val="en-GB"/>
        </w:rPr>
        <w:t>System selection guidance</w:t>
      </w:r>
    </w:p>
    <w:p w:rsidR="005104E0" w:rsidRPr="005104E0" w:rsidRDefault="005104E0" w:rsidP="005104E0">
      <w:pPr>
        <w:rPr>
          <w:b/>
          <w:bCs/>
          <w:sz w:val="20"/>
          <w:szCs w:val="20"/>
          <w:lang w:val="en-GB"/>
        </w:rPr>
      </w:pPr>
      <w:r>
        <w:rPr>
          <w:b/>
          <w:bCs/>
          <w:sz w:val="20"/>
          <w:szCs w:val="20"/>
          <w:lang w:val="en-GB"/>
        </w:rPr>
        <w:br w:type="page"/>
      </w:r>
      <w:bookmarkStart w:id="0" w:name="_GoBack"/>
      <w:bookmarkEnd w:id="0"/>
      <w:r w:rsidRPr="005104E0">
        <w:rPr>
          <w:b/>
          <w:bCs/>
          <w:sz w:val="20"/>
          <w:szCs w:val="20"/>
          <w:lang w:val="en-GB"/>
        </w:rPr>
        <w:lastRenderedPageBreak/>
        <w:t xml:space="preserve">SOLUTION ARCHITECTURE </w:t>
      </w:r>
    </w:p>
    <w:p w:rsidR="005104E0" w:rsidRPr="005104E0" w:rsidRDefault="005104E0" w:rsidP="005104E0">
      <w:pPr>
        <w:rPr>
          <w:sz w:val="20"/>
          <w:szCs w:val="20"/>
          <w:lang w:val="en-GB"/>
        </w:rPr>
      </w:pPr>
      <w:r w:rsidRPr="005104E0">
        <w:rPr>
          <w:sz w:val="20"/>
          <w:szCs w:val="20"/>
          <w:lang w:val="en-GB"/>
        </w:rPr>
        <w:t xml:space="preserve">MOTOTRBO Control Room Solutions are completely modular so users only have to buy the features they need. They can be tailored to any individual requirement to ensure optimum performance across a range of industries and are also easily scalable from small to large systems and are ready to grow with a business as it expands. </w:t>
      </w:r>
    </w:p>
    <w:p w:rsidR="005104E0" w:rsidRPr="005104E0" w:rsidRDefault="005104E0" w:rsidP="005104E0">
      <w:pPr>
        <w:rPr>
          <w:sz w:val="20"/>
          <w:szCs w:val="20"/>
          <w:lang w:val="en-GB"/>
        </w:rPr>
      </w:pPr>
      <w:r w:rsidRPr="005104E0">
        <w:rPr>
          <w:sz w:val="20"/>
          <w:szCs w:val="20"/>
          <w:lang w:val="en-GB"/>
        </w:rPr>
        <w:t xml:space="preserve">MOTOTRBO Control Room Solutions include a variety of modules with their own part numbers which build the solution: </w:t>
      </w:r>
    </w:p>
    <w:p w:rsidR="005104E0" w:rsidRPr="005104E0" w:rsidRDefault="005104E0" w:rsidP="005104E0">
      <w:pPr>
        <w:rPr>
          <w:sz w:val="20"/>
          <w:szCs w:val="20"/>
          <w:lang w:val="en-GB"/>
        </w:rPr>
      </w:pPr>
      <w:r w:rsidRPr="005104E0">
        <w:rPr>
          <w:sz w:val="20"/>
          <w:szCs w:val="20"/>
          <w:lang w:val="en-GB"/>
        </w:rPr>
        <w:t xml:space="preserve">• </w:t>
      </w:r>
      <w:r w:rsidRPr="005104E0">
        <w:rPr>
          <w:b/>
          <w:bCs/>
          <w:sz w:val="20"/>
          <w:szCs w:val="20"/>
          <w:lang w:val="en-GB"/>
        </w:rPr>
        <w:t xml:space="preserve">CORE </w:t>
      </w:r>
      <w:r w:rsidRPr="005104E0">
        <w:rPr>
          <w:sz w:val="20"/>
          <w:szCs w:val="20"/>
          <w:lang w:val="en-GB"/>
        </w:rPr>
        <w:t xml:space="preserve">- the software application providing a core set of features and functionalities </w:t>
      </w:r>
    </w:p>
    <w:p w:rsidR="005104E0" w:rsidRPr="005104E0" w:rsidRDefault="005104E0" w:rsidP="005104E0">
      <w:pPr>
        <w:rPr>
          <w:sz w:val="20"/>
          <w:szCs w:val="20"/>
          <w:lang w:val="en-GB"/>
        </w:rPr>
      </w:pPr>
      <w:r w:rsidRPr="005104E0">
        <w:rPr>
          <w:sz w:val="20"/>
          <w:szCs w:val="20"/>
          <w:lang w:val="en-GB"/>
        </w:rPr>
        <w:t xml:space="preserve">• </w:t>
      </w:r>
      <w:r w:rsidRPr="005104E0">
        <w:rPr>
          <w:b/>
          <w:bCs/>
          <w:sz w:val="20"/>
          <w:szCs w:val="20"/>
          <w:lang w:val="en-GB"/>
        </w:rPr>
        <w:t xml:space="preserve">CONNECTIVITY MODULES </w:t>
      </w:r>
      <w:r w:rsidRPr="005104E0">
        <w:rPr>
          <w:sz w:val="20"/>
          <w:szCs w:val="20"/>
          <w:lang w:val="en-GB"/>
        </w:rPr>
        <w:t xml:space="preserve">- these items define and open access to the radio systems the solution will be used in conjunction with such as IPSC, Capacity Plus or Linked Capacity Plus. </w:t>
      </w:r>
    </w:p>
    <w:p w:rsidR="005104E0" w:rsidRPr="005104E0" w:rsidRDefault="005104E0" w:rsidP="005104E0">
      <w:pPr>
        <w:rPr>
          <w:sz w:val="20"/>
          <w:szCs w:val="20"/>
          <w:lang w:val="en-GB"/>
        </w:rPr>
      </w:pPr>
      <w:r w:rsidRPr="005104E0">
        <w:rPr>
          <w:sz w:val="20"/>
          <w:szCs w:val="20"/>
          <w:lang w:val="en-GB"/>
        </w:rPr>
        <w:t xml:space="preserve">• </w:t>
      </w:r>
      <w:r w:rsidRPr="005104E0">
        <w:rPr>
          <w:b/>
          <w:bCs/>
          <w:sz w:val="20"/>
          <w:szCs w:val="20"/>
          <w:lang w:val="en-GB"/>
        </w:rPr>
        <w:t xml:space="preserve">RADIO LICENCES </w:t>
      </w:r>
      <w:r w:rsidRPr="005104E0">
        <w:rPr>
          <w:sz w:val="20"/>
          <w:szCs w:val="20"/>
          <w:lang w:val="en-GB"/>
        </w:rPr>
        <w:t xml:space="preserve">- one Radio Licence must be purchased for each radio in the system the application will connect to. There are 4 part numbers depending on the numbers of units to be ordered, with quantity-based pricing. </w:t>
      </w:r>
    </w:p>
    <w:p w:rsidR="005104E0" w:rsidRPr="005104E0" w:rsidRDefault="005104E0" w:rsidP="005104E0">
      <w:pPr>
        <w:rPr>
          <w:sz w:val="20"/>
          <w:szCs w:val="20"/>
          <w:lang w:val="en-GB"/>
        </w:rPr>
      </w:pPr>
      <w:r w:rsidRPr="005104E0">
        <w:rPr>
          <w:sz w:val="20"/>
          <w:szCs w:val="20"/>
          <w:lang w:val="en-GB"/>
        </w:rPr>
        <w:t xml:space="preserve">• </w:t>
      </w:r>
      <w:r w:rsidRPr="005104E0">
        <w:rPr>
          <w:b/>
          <w:bCs/>
          <w:sz w:val="20"/>
          <w:szCs w:val="20"/>
          <w:lang w:val="en-GB"/>
        </w:rPr>
        <w:t xml:space="preserve">OPTIONAL MODULES </w:t>
      </w:r>
      <w:r w:rsidRPr="005104E0">
        <w:rPr>
          <w:sz w:val="20"/>
          <w:szCs w:val="20"/>
          <w:lang w:val="en-GB"/>
        </w:rPr>
        <w:t xml:space="preserve">- these items are additional functionalities such as GPS tracking and features or services such as additional dispatcher position. </w:t>
      </w:r>
    </w:p>
    <w:p w:rsidR="005104E0" w:rsidRPr="005104E0" w:rsidRDefault="005104E0" w:rsidP="005104E0">
      <w:pPr>
        <w:rPr>
          <w:sz w:val="20"/>
          <w:szCs w:val="20"/>
          <w:lang w:val="en-GB"/>
        </w:rPr>
      </w:pPr>
    </w:p>
    <w:p w:rsidR="00C36527" w:rsidRPr="005104E0" w:rsidRDefault="005104E0" w:rsidP="005104E0">
      <w:pPr>
        <w:rPr>
          <w:sz w:val="20"/>
          <w:szCs w:val="20"/>
          <w:lang w:val="en-GB"/>
        </w:rPr>
      </w:pPr>
      <w:r w:rsidRPr="005104E0">
        <w:rPr>
          <w:sz w:val="20"/>
          <w:szCs w:val="20"/>
          <w:lang w:val="en-GB"/>
        </w:rPr>
        <w:t>Channel partners select the required modules to build the solution that exactly matches their customer’s radio system and business requirements. Motorola will deliver a customised licence key file which activates these specific modules only and is locked to one customer radio system.</w:t>
      </w:r>
    </w:p>
    <w:p w:rsidR="005104E0" w:rsidRDefault="005104E0" w:rsidP="005104E0">
      <w:pPr>
        <w:rPr>
          <w:lang w:val="en-GB"/>
        </w:rPr>
      </w:pPr>
    </w:p>
    <w:p w:rsidR="005104E0" w:rsidRDefault="005104E0" w:rsidP="005104E0">
      <w:pPr>
        <w:rPr>
          <w:lang w:val="en-GB"/>
        </w:rPr>
      </w:pPr>
      <w:r>
        <w:rPr>
          <w:noProof/>
          <w:lang w:eastAsia="nb-NO"/>
        </w:rPr>
        <w:drawing>
          <wp:inline distT="0" distB="0" distL="0" distR="0">
            <wp:extent cx="5760720" cy="377577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775776"/>
                    </a:xfrm>
                    <a:prstGeom prst="rect">
                      <a:avLst/>
                    </a:prstGeom>
                    <a:noFill/>
                    <a:ln>
                      <a:noFill/>
                    </a:ln>
                  </pic:spPr>
                </pic:pic>
              </a:graphicData>
            </a:graphic>
          </wp:inline>
        </w:drawing>
      </w:r>
    </w:p>
    <w:tbl>
      <w:tblPr>
        <w:tblW w:w="0" w:type="auto"/>
        <w:tblBorders>
          <w:top w:val="nil"/>
          <w:left w:val="nil"/>
          <w:bottom w:val="nil"/>
          <w:right w:val="nil"/>
        </w:tblBorders>
        <w:tblLayout w:type="fixed"/>
        <w:tblLook w:val="0000" w:firstRow="0" w:lastRow="0" w:firstColumn="0" w:lastColumn="0" w:noHBand="0" w:noVBand="0"/>
      </w:tblPr>
      <w:tblGrid>
        <w:gridCol w:w="10094"/>
      </w:tblGrid>
      <w:tr w:rsidR="005104E0" w:rsidRPr="005104E0">
        <w:tblPrEx>
          <w:tblCellMar>
            <w:top w:w="0" w:type="dxa"/>
            <w:bottom w:w="0" w:type="dxa"/>
          </w:tblCellMar>
        </w:tblPrEx>
        <w:trPr>
          <w:trHeight w:val="170"/>
        </w:trPr>
        <w:tc>
          <w:tcPr>
            <w:tcW w:w="10094" w:type="dxa"/>
          </w:tcPr>
          <w:p w:rsidR="005104E0" w:rsidRPr="005104E0" w:rsidRDefault="005104E0" w:rsidP="005104E0">
            <w:pPr>
              <w:rPr>
                <w:sz w:val="20"/>
                <w:szCs w:val="20"/>
                <w:lang w:val="en-GB"/>
              </w:rPr>
            </w:pPr>
            <w:r w:rsidRPr="005104E0">
              <w:rPr>
                <w:b/>
                <w:bCs/>
                <w:sz w:val="20"/>
                <w:szCs w:val="20"/>
                <w:lang w:val="en-GB"/>
              </w:rPr>
              <w:lastRenderedPageBreak/>
              <w:t xml:space="preserve">Example of order types </w:t>
            </w:r>
          </w:p>
          <w:p w:rsidR="005104E0" w:rsidRPr="005104E0" w:rsidRDefault="005104E0" w:rsidP="005104E0">
            <w:pPr>
              <w:rPr>
                <w:sz w:val="20"/>
                <w:szCs w:val="20"/>
                <w:lang w:val="en-GB"/>
              </w:rPr>
            </w:pPr>
            <w:r w:rsidRPr="005104E0">
              <w:rPr>
                <w:b/>
                <w:bCs/>
                <w:sz w:val="20"/>
                <w:szCs w:val="20"/>
                <w:lang w:val="en-GB"/>
              </w:rPr>
              <w:t xml:space="preserve">1. NEW LICENCE KEY </w:t>
            </w:r>
          </w:p>
          <w:p w:rsidR="005104E0" w:rsidRPr="005104E0" w:rsidRDefault="005104E0" w:rsidP="005104E0">
            <w:pPr>
              <w:rPr>
                <w:sz w:val="20"/>
                <w:szCs w:val="20"/>
                <w:lang w:val="en-GB"/>
              </w:rPr>
            </w:pPr>
          </w:p>
        </w:tc>
      </w:tr>
      <w:tr w:rsidR="005104E0" w:rsidRPr="005104E0">
        <w:tblPrEx>
          <w:tblCellMar>
            <w:top w:w="0" w:type="dxa"/>
            <w:bottom w:w="0" w:type="dxa"/>
          </w:tblCellMar>
        </w:tblPrEx>
        <w:trPr>
          <w:trHeight w:val="947"/>
        </w:trPr>
        <w:tc>
          <w:tcPr>
            <w:tcW w:w="10094" w:type="dxa"/>
          </w:tcPr>
          <w:p w:rsidR="005104E0" w:rsidRPr="005104E0" w:rsidRDefault="005104E0" w:rsidP="005104E0">
            <w:pPr>
              <w:rPr>
                <w:sz w:val="20"/>
                <w:szCs w:val="20"/>
                <w:lang w:val="en-GB"/>
              </w:rPr>
            </w:pPr>
            <w:r w:rsidRPr="005104E0">
              <w:rPr>
                <w:sz w:val="20"/>
                <w:szCs w:val="20"/>
                <w:lang w:val="en-GB"/>
              </w:rPr>
              <w:t xml:space="preserve">PLUS Core must always be ordered for new MOTOTRBO Control Room Solutions along with one or multiple Connectivity Module and Radio Licences which will open access to the radio systems and the numbers of radios the Dispatcher will connect to. </w:t>
            </w:r>
          </w:p>
          <w:p w:rsidR="005104E0" w:rsidRDefault="005104E0" w:rsidP="005104E0">
            <w:pPr>
              <w:rPr>
                <w:sz w:val="20"/>
                <w:szCs w:val="20"/>
                <w:lang w:val="en-GB"/>
              </w:rPr>
            </w:pPr>
            <w:r w:rsidRPr="005104E0">
              <w:rPr>
                <w:sz w:val="20"/>
                <w:szCs w:val="20"/>
                <w:lang w:val="en-GB"/>
              </w:rPr>
              <w:t xml:space="preserve">Further functionality such as IP System Bridge or Additional Radio Servers for redundancy can be added to the Core by purchasing optional modules. </w:t>
            </w:r>
          </w:p>
          <w:p w:rsidR="005104E0" w:rsidRPr="005104E0" w:rsidRDefault="005104E0" w:rsidP="005104E0">
            <w:pPr>
              <w:rPr>
                <w:sz w:val="20"/>
                <w:szCs w:val="20"/>
                <w:lang w:val="en-GB"/>
              </w:rPr>
            </w:pPr>
            <w:r>
              <w:rPr>
                <w:noProof/>
                <w:sz w:val="20"/>
                <w:szCs w:val="20"/>
                <w:lang w:eastAsia="nb-NO"/>
              </w:rPr>
              <w:drawing>
                <wp:inline distT="0" distB="0" distL="0" distR="0">
                  <wp:extent cx="6269990" cy="1743710"/>
                  <wp:effectExtent l="0" t="0" r="0" b="889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9990" cy="1743710"/>
                          </a:xfrm>
                          <a:prstGeom prst="rect">
                            <a:avLst/>
                          </a:prstGeom>
                          <a:noFill/>
                          <a:ln>
                            <a:noFill/>
                          </a:ln>
                        </pic:spPr>
                      </pic:pic>
                    </a:graphicData>
                  </a:graphic>
                </wp:inline>
              </w:drawing>
            </w:r>
          </w:p>
        </w:tc>
      </w:tr>
      <w:tr w:rsidR="005104E0" w:rsidRPr="005104E0">
        <w:tblPrEx>
          <w:tblCellMar>
            <w:top w:w="0" w:type="dxa"/>
            <w:bottom w:w="0" w:type="dxa"/>
          </w:tblCellMar>
        </w:tblPrEx>
        <w:trPr>
          <w:trHeight w:val="170"/>
        </w:trPr>
        <w:tc>
          <w:tcPr>
            <w:tcW w:w="10094" w:type="dxa"/>
          </w:tcPr>
          <w:p w:rsidR="005104E0" w:rsidRPr="005104E0" w:rsidRDefault="005104E0" w:rsidP="005104E0">
            <w:pPr>
              <w:rPr>
                <w:sz w:val="20"/>
                <w:szCs w:val="20"/>
                <w:lang w:val="en-GB"/>
              </w:rPr>
            </w:pPr>
          </w:p>
          <w:p w:rsidR="005104E0" w:rsidRPr="005104E0" w:rsidRDefault="005104E0" w:rsidP="005104E0">
            <w:pPr>
              <w:rPr>
                <w:sz w:val="20"/>
                <w:szCs w:val="20"/>
              </w:rPr>
            </w:pPr>
            <w:r w:rsidRPr="005104E0">
              <w:rPr>
                <w:b/>
                <w:bCs/>
                <w:sz w:val="20"/>
                <w:szCs w:val="20"/>
              </w:rPr>
              <w:t xml:space="preserve">2. LICENCE KEY EXPANSION </w:t>
            </w:r>
          </w:p>
          <w:p w:rsidR="005104E0" w:rsidRPr="005104E0" w:rsidRDefault="005104E0" w:rsidP="005104E0">
            <w:pPr>
              <w:rPr>
                <w:sz w:val="20"/>
                <w:szCs w:val="20"/>
              </w:rPr>
            </w:pPr>
          </w:p>
        </w:tc>
      </w:tr>
      <w:tr w:rsidR="005104E0" w:rsidRPr="005104E0">
        <w:tblPrEx>
          <w:tblCellMar>
            <w:top w:w="0" w:type="dxa"/>
            <w:bottom w:w="0" w:type="dxa"/>
          </w:tblCellMar>
        </w:tblPrEx>
        <w:trPr>
          <w:trHeight w:val="844"/>
        </w:trPr>
        <w:tc>
          <w:tcPr>
            <w:tcW w:w="10094" w:type="dxa"/>
          </w:tcPr>
          <w:p w:rsidR="005104E0" w:rsidRPr="005104E0" w:rsidRDefault="005104E0" w:rsidP="005104E0">
            <w:pPr>
              <w:rPr>
                <w:sz w:val="20"/>
                <w:szCs w:val="20"/>
                <w:lang w:val="en-GB"/>
              </w:rPr>
            </w:pPr>
            <w:r w:rsidRPr="005104E0">
              <w:rPr>
                <w:sz w:val="20"/>
                <w:szCs w:val="20"/>
                <w:lang w:val="en-GB"/>
              </w:rPr>
              <w:t xml:space="preserve">Customers may want to use their PLUS solution in conjunction with a new radio system or additional radio users: they will then buy additional Connectivity Module to connect to this system and/or more Radio Licences. </w:t>
            </w:r>
          </w:p>
          <w:p w:rsidR="005104E0" w:rsidRDefault="005104E0" w:rsidP="005104E0">
            <w:pPr>
              <w:rPr>
                <w:sz w:val="20"/>
                <w:szCs w:val="20"/>
                <w:lang w:val="en-GB"/>
              </w:rPr>
            </w:pPr>
            <w:r w:rsidRPr="005104E0">
              <w:rPr>
                <w:sz w:val="20"/>
                <w:szCs w:val="20"/>
                <w:lang w:val="en-GB"/>
              </w:rPr>
              <w:t xml:space="preserve">Users may also want to add more functionality such as Phone Interconnect and can then purchase this module only aftermarket. </w:t>
            </w:r>
          </w:p>
          <w:p w:rsidR="005104E0" w:rsidRPr="005104E0" w:rsidRDefault="005104E0" w:rsidP="005104E0">
            <w:pPr>
              <w:rPr>
                <w:sz w:val="20"/>
                <w:szCs w:val="20"/>
                <w:lang w:val="en-GB"/>
              </w:rPr>
            </w:pPr>
            <w:r>
              <w:rPr>
                <w:noProof/>
                <w:sz w:val="20"/>
                <w:szCs w:val="20"/>
                <w:lang w:eastAsia="nb-NO"/>
              </w:rPr>
              <w:drawing>
                <wp:inline distT="0" distB="0" distL="0" distR="0">
                  <wp:extent cx="6269990" cy="1936750"/>
                  <wp:effectExtent l="0" t="0" r="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9990" cy="1936750"/>
                          </a:xfrm>
                          <a:prstGeom prst="rect">
                            <a:avLst/>
                          </a:prstGeom>
                          <a:noFill/>
                          <a:ln>
                            <a:noFill/>
                          </a:ln>
                        </pic:spPr>
                      </pic:pic>
                    </a:graphicData>
                  </a:graphic>
                </wp:inline>
              </w:drawing>
            </w:r>
          </w:p>
        </w:tc>
      </w:tr>
      <w:tr w:rsidR="005104E0" w:rsidRPr="005104E0">
        <w:tblPrEx>
          <w:tblCellMar>
            <w:top w:w="0" w:type="dxa"/>
            <w:bottom w:w="0" w:type="dxa"/>
          </w:tblCellMar>
        </w:tblPrEx>
        <w:trPr>
          <w:trHeight w:val="171"/>
        </w:trPr>
        <w:tc>
          <w:tcPr>
            <w:tcW w:w="10094" w:type="dxa"/>
          </w:tcPr>
          <w:p w:rsidR="005104E0" w:rsidRDefault="005104E0" w:rsidP="005104E0">
            <w:pPr>
              <w:rPr>
                <w:sz w:val="20"/>
                <w:szCs w:val="20"/>
                <w:lang w:val="en-GB"/>
              </w:rPr>
            </w:pPr>
          </w:p>
          <w:p w:rsidR="005104E0" w:rsidRDefault="005104E0" w:rsidP="005104E0">
            <w:pPr>
              <w:rPr>
                <w:sz w:val="20"/>
                <w:szCs w:val="20"/>
                <w:lang w:val="en-GB"/>
              </w:rPr>
            </w:pPr>
          </w:p>
          <w:p w:rsidR="005104E0" w:rsidRPr="005104E0" w:rsidRDefault="005104E0" w:rsidP="005104E0">
            <w:pPr>
              <w:rPr>
                <w:sz w:val="20"/>
                <w:szCs w:val="20"/>
                <w:lang w:val="en-GB"/>
              </w:rPr>
            </w:pPr>
          </w:p>
          <w:p w:rsidR="005104E0" w:rsidRPr="005104E0" w:rsidRDefault="005104E0" w:rsidP="005104E0">
            <w:pPr>
              <w:rPr>
                <w:sz w:val="20"/>
                <w:szCs w:val="20"/>
                <w:lang w:val="en-GB"/>
              </w:rPr>
            </w:pPr>
            <w:r w:rsidRPr="005104E0">
              <w:rPr>
                <w:b/>
                <w:bCs/>
                <w:sz w:val="20"/>
                <w:szCs w:val="20"/>
                <w:lang w:val="en-GB"/>
              </w:rPr>
              <w:lastRenderedPageBreak/>
              <w:t xml:space="preserve">3. UPGRADE FROM ENTERPRISE TO PLUS </w:t>
            </w:r>
          </w:p>
          <w:p w:rsidR="005104E0" w:rsidRPr="005104E0" w:rsidRDefault="005104E0" w:rsidP="005104E0">
            <w:pPr>
              <w:rPr>
                <w:sz w:val="20"/>
                <w:szCs w:val="20"/>
                <w:lang w:val="en-GB"/>
              </w:rPr>
            </w:pPr>
          </w:p>
        </w:tc>
      </w:tr>
      <w:tr w:rsidR="005104E0" w:rsidRPr="005104E0">
        <w:tblPrEx>
          <w:tblCellMar>
            <w:top w:w="0" w:type="dxa"/>
            <w:bottom w:w="0" w:type="dxa"/>
          </w:tblCellMar>
        </w:tblPrEx>
        <w:trPr>
          <w:trHeight w:val="2042"/>
        </w:trPr>
        <w:tc>
          <w:tcPr>
            <w:tcW w:w="10094" w:type="dxa"/>
          </w:tcPr>
          <w:p w:rsidR="005104E0" w:rsidRPr="005104E0" w:rsidRDefault="005104E0" w:rsidP="005104E0">
            <w:pPr>
              <w:rPr>
                <w:sz w:val="20"/>
                <w:szCs w:val="20"/>
                <w:lang w:val="en-GB"/>
              </w:rPr>
            </w:pPr>
            <w:r w:rsidRPr="005104E0">
              <w:rPr>
                <w:sz w:val="20"/>
                <w:szCs w:val="20"/>
                <w:lang w:val="en-GB"/>
              </w:rPr>
              <w:lastRenderedPageBreak/>
              <w:t xml:space="preserve">There is large customer base using the ENTERPRISE version of </w:t>
            </w:r>
            <w:proofErr w:type="spellStart"/>
            <w:r w:rsidRPr="005104E0">
              <w:rPr>
                <w:sz w:val="20"/>
                <w:szCs w:val="20"/>
                <w:lang w:val="en-GB"/>
              </w:rPr>
              <w:t>SmartPTT</w:t>
            </w:r>
            <w:proofErr w:type="spellEnd"/>
            <w:r w:rsidRPr="005104E0">
              <w:rPr>
                <w:sz w:val="20"/>
                <w:szCs w:val="20"/>
                <w:lang w:val="en-GB"/>
              </w:rPr>
              <w:t xml:space="preserve"> and </w:t>
            </w:r>
            <w:proofErr w:type="spellStart"/>
            <w:r w:rsidRPr="005104E0">
              <w:rPr>
                <w:sz w:val="20"/>
                <w:szCs w:val="20"/>
                <w:lang w:val="en-GB"/>
              </w:rPr>
              <w:t>TRBOnet</w:t>
            </w:r>
            <w:proofErr w:type="spellEnd"/>
            <w:r w:rsidRPr="005104E0">
              <w:rPr>
                <w:sz w:val="20"/>
                <w:szCs w:val="20"/>
                <w:lang w:val="en-GB"/>
              </w:rPr>
              <w:t xml:space="preserve"> and some of these customers will upgrade to the premium version PLUS. </w:t>
            </w:r>
          </w:p>
          <w:p w:rsidR="005104E0" w:rsidRPr="005104E0" w:rsidRDefault="005104E0" w:rsidP="005104E0">
            <w:pPr>
              <w:rPr>
                <w:sz w:val="20"/>
                <w:szCs w:val="20"/>
                <w:lang w:val="en-GB"/>
              </w:rPr>
            </w:pPr>
            <w:r w:rsidRPr="005104E0">
              <w:rPr>
                <w:sz w:val="20"/>
                <w:szCs w:val="20"/>
                <w:lang w:val="en-GB"/>
              </w:rPr>
              <w:t xml:space="preserve">There are 2 upgrade paths depending on when the customer purchased the Enterprise solution: </w:t>
            </w:r>
          </w:p>
          <w:p w:rsidR="005104E0" w:rsidRPr="005104E0" w:rsidRDefault="005104E0" w:rsidP="005104E0">
            <w:pPr>
              <w:pStyle w:val="Listeavsnitt"/>
              <w:numPr>
                <w:ilvl w:val="0"/>
                <w:numId w:val="1"/>
              </w:numPr>
              <w:rPr>
                <w:sz w:val="20"/>
                <w:szCs w:val="20"/>
                <w:lang w:val="en-GB"/>
              </w:rPr>
            </w:pPr>
            <w:r w:rsidRPr="005104E0">
              <w:rPr>
                <w:sz w:val="20"/>
                <w:szCs w:val="20"/>
                <w:lang w:val="en-GB"/>
              </w:rPr>
              <w:t xml:space="preserve">Before PLUS’ launch (17th April14) - Customers only need to purchase the Connectivity Modules. If customers needs NEW functionalities i.e. functionalities that were not active in the Enterprise solution, those need to be purchased. </w:t>
            </w:r>
          </w:p>
          <w:tbl>
            <w:tblPr>
              <w:tblW w:w="0" w:type="auto"/>
              <w:tblBorders>
                <w:top w:val="nil"/>
                <w:left w:val="nil"/>
                <w:bottom w:val="nil"/>
                <w:right w:val="nil"/>
              </w:tblBorders>
              <w:tblLayout w:type="fixed"/>
              <w:tblLook w:val="0000" w:firstRow="0" w:lastRow="0" w:firstColumn="0" w:lastColumn="0" w:noHBand="0" w:noVBand="0"/>
            </w:tblPr>
            <w:tblGrid>
              <w:gridCol w:w="4413"/>
            </w:tblGrid>
            <w:tr w:rsidR="005104E0" w:rsidRPr="005104E0">
              <w:tblPrEx>
                <w:tblCellMar>
                  <w:top w:w="0" w:type="dxa"/>
                  <w:bottom w:w="0" w:type="dxa"/>
                </w:tblCellMar>
              </w:tblPrEx>
              <w:trPr>
                <w:trHeight w:val="125"/>
              </w:trPr>
              <w:tc>
                <w:tcPr>
                  <w:tcW w:w="4413" w:type="dxa"/>
                </w:tcPr>
                <w:p w:rsidR="005104E0" w:rsidRDefault="005104E0" w:rsidP="005104E0">
                  <w:pPr>
                    <w:pStyle w:val="Listeavsnitt"/>
                    <w:rPr>
                      <w:b/>
                      <w:bCs/>
                      <w:sz w:val="20"/>
                      <w:szCs w:val="20"/>
                      <w:lang w:val="en-GB"/>
                    </w:rPr>
                  </w:pPr>
                  <w:r w:rsidRPr="005104E0">
                    <w:rPr>
                      <w:b/>
                      <w:bCs/>
                      <w:sz w:val="20"/>
                      <w:szCs w:val="20"/>
                      <w:lang w:val="en-GB"/>
                    </w:rPr>
                    <w:t>Enter</w:t>
                  </w:r>
                  <w:r>
                    <w:rPr>
                      <w:b/>
                      <w:bCs/>
                      <w:sz w:val="20"/>
                      <w:szCs w:val="20"/>
                      <w:lang w:val="en-GB"/>
                    </w:rPr>
                    <w:t xml:space="preserve">prise solution purchased before </w:t>
                  </w:r>
                  <w:r w:rsidRPr="005104E0">
                    <w:rPr>
                      <w:b/>
                      <w:bCs/>
                      <w:sz w:val="20"/>
                      <w:szCs w:val="20"/>
                      <w:lang w:val="en-GB"/>
                    </w:rPr>
                    <w:t xml:space="preserve">PLUS’ launch </w:t>
                  </w:r>
                </w:p>
                <w:p w:rsidR="005104E0" w:rsidRPr="005104E0" w:rsidRDefault="005104E0" w:rsidP="005104E0">
                  <w:pPr>
                    <w:pStyle w:val="Listeavsnitt"/>
                    <w:rPr>
                      <w:sz w:val="20"/>
                      <w:szCs w:val="20"/>
                      <w:lang w:val="en-GB"/>
                    </w:rPr>
                  </w:pPr>
                </w:p>
              </w:tc>
            </w:tr>
          </w:tbl>
          <w:p w:rsidR="005104E0" w:rsidRPr="005104E0" w:rsidRDefault="005104E0" w:rsidP="005104E0">
            <w:pPr>
              <w:pStyle w:val="Listeavsnitt"/>
              <w:rPr>
                <w:sz w:val="20"/>
                <w:szCs w:val="20"/>
                <w:lang w:val="en-GB"/>
              </w:rPr>
            </w:pPr>
            <w:r>
              <w:rPr>
                <w:noProof/>
                <w:sz w:val="20"/>
                <w:szCs w:val="20"/>
                <w:lang w:eastAsia="nb-NO"/>
              </w:rPr>
              <w:drawing>
                <wp:inline distT="0" distB="0" distL="0" distR="0">
                  <wp:extent cx="6088380" cy="1931035"/>
                  <wp:effectExtent l="0" t="0" r="762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8380" cy="1931035"/>
                          </a:xfrm>
                          <a:prstGeom prst="rect">
                            <a:avLst/>
                          </a:prstGeom>
                          <a:noFill/>
                          <a:ln>
                            <a:noFill/>
                          </a:ln>
                        </pic:spPr>
                      </pic:pic>
                    </a:graphicData>
                  </a:graphic>
                </wp:inline>
              </w:drawing>
            </w:r>
          </w:p>
          <w:p w:rsidR="005104E0" w:rsidRPr="005104E0" w:rsidRDefault="005104E0" w:rsidP="005104E0">
            <w:pPr>
              <w:pStyle w:val="Listeavsnitt"/>
              <w:numPr>
                <w:ilvl w:val="0"/>
                <w:numId w:val="1"/>
              </w:numPr>
              <w:rPr>
                <w:sz w:val="20"/>
                <w:szCs w:val="20"/>
                <w:lang w:val="en-GB"/>
              </w:rPr>
            </w:pPr>
            <w:r w:rsidRPr="005104E0">
              <w:rPr>
                <w:sz w:val="20"/>
                <w:szCs w:val="20"/>
                <w:lang w:val="en-GB"/>
              </w:rPr>
              <w:t xml:space="preserve">After 17th April 14 – Same as (1.) and in addition one radio upgrade fee for each radio that were active in the Enterprise solution must be purchased. </w:t>
            </w:r>
          </w:p>
          <w:tbl>
            <w:tblPr>
              <w:tblW w:w="0" w:type="auto"/>
              <w:tblBorders>
                <w:top w:val="nil"/>
                <w:left w:val="nil"/>
                <w:bottom w:val="nil"/>
                <w:right w:val="nil"/>
              </w:tblBorders>
              <w:tblLayout w:type="fixed"/>
              <w:tblLook w:val="0000" w:firstRow="0" w:lastRow="0" w:firstColumn="0" w:lastColumn="0" w:noHBand="0" w:noVBand="0"/>
            </w:tblPr>
            <w:tblGrid>
              <w:gridCol w:w="4252"/>
            </w:tblGrid>
            <w:tr w:rsidR="005104E0" w:rsidRPr="005104E0">
              <w:tblPrEx>
                <w:tblCellMar>
                  <w:top w:w="0" w:type="dxa"/>
                  <w:bottom w:w="0" w:type="dxa"/>
                </w:tblCellMar>
              </w:tblPrEx>
              <w:trPr>
                <w:trHeight w:val="125"/>
              </w:trPr>
              <w:tc>
                <w:tcPr>
                  <w:tcW w:w="4252" w:type="dxa"/>
                </w:tcPr>
                <w:p w:rsidR="005104E0" w:rsidRPr="005104E0" w:rsidRDefault="005104E0" w:rsidP="005104E0">
                  <w:pPr>
                    <w:pStyle w:val="Listeavsnitt"/>
                    <w:rPr>
                      <w:sz w:val="20"/>
                      <w:szCs w:val="20"/>
                      <w:lang w:val="en-GB"/>
                    </w:rPr>
                  </w:pPr>
                  <w:r w:rsidRPr="005104E0">
                    <w:rPr>
                      <w:b/>
                      <w:bCs/>
                      <w:sz w:val="20"/>
                      <w:szCs w:val="20"/>
                      <w:lang w:val="en-GB"/>
                    </w:rPr>
                    <w:t xml:space="preserve">Enterprise solution purchased after PLUS’ launch </w:t>
                  </w:r>
                </w:p>
              </w:tc>
            </w:tr>
          </w:tbl>
          <w:p w:rsidR="005104E0" w:rsidRPr="005104E0" w:rsidRDefault="005104E0" w:rsidP="005104E0">
            <w:pPr>
              <w:pStyle w:val="Listeavsnitt"/>
              <w:rPr>
                <w:sz w:val="20"/>
                <w:szCs w:val="20"/>
                <w:lang w:val="en-GB"/>
              </w:rPr>
            </w:pPr>
            <w:r>
              <w:rPr>
                <w:noProof/>
                <w:sz w:val="20"/>
                <w:szCs w:val="20"/>
                <w:lang w:eastAsia="nb-NO"/>
              </w:rPr>
              <w:drawing>
                <wp:inline distT="0" distB="0" distL="0" distR="0">
                  <wp:extent cx="6088380" cy="2317115"/>
                  <wp:effectExtent l="0" t="0" r="7620" b="698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8380" cy="2317115"/>
                          </a:xfrm>
                          <a:prstGeom prst="rect">
                            <a:avLst/>
                          </a:prstGeom>
                          <a:noFill/>
                          <a:ln>
                            <a:noFill/>
                          </a:ln>
                        </pic:spPr>
                      </pic:pic>
                    </a:graphicData>
                  </a:graphic>
                </wp:inline>
              </w:drawing>
            </w:r>
          </w:p>
          <w:p w:rsidR="005104E0" w:rsidRPr="005104E0" w:rsidRDefault="005104E0" w:rsidP="005104E0">
            <w:pPr>
              <w:rPr>
                <w:sz w:val="20"/>
                <w:szCs w:val="20"/>
                <w:lang w:val="en-GB"/>
              </w:rPr>
            </w:pPr>
          </w:p>
          <w:tbl>
            <w:tblPr>
              <w:tblW w:w="0" w:type="auto"/>
              <w:tblBorders>
                <w:top w:val="nil"/>
                <w:left w:val="nil"/>
                <w:bottom w:val="nil"/>
                <w:right w:val="nil"/>
              </w:tblBorders>
              <w:tblLayout w:type="fixed"/>
              <w:tblLook w:val="0000" w:firstRow="0" w:lastRow="0" w:firstColumn="0" w:lastColumn="0" w:noHBand="0" w:noVBand="0"/>
            </w:tblPr>
            <w:tblGrid>
              <w:gridCol w:w="4653"/>
            </w:tblGrid>
            <w:tr w:rsidR="005104E0" w:rsidRPr="005104E0">
              <w:tblPrEx>
                <w:tblCellMar>
                  <w:top w:w="0" w:type="dxa"/>
                  <w:bottom w:w="0" w:type="dxa"/>
                </w:tblCellMar>
              </w:tblPrEx>
              <w:trPr>
                <w:trHeight w:val="223"/>
              </w:trPr>
              <w:tc>
                <w:tcPr>
                  <w:tcW w:w="4653" w:type="dxa"/>
                </w:tcPr>
                <w:p w:rsidR="005104E0" w:rsidRPr="005104E0" w:rsidRDefault="005104E0" w:rsidP="005104E0">
                  <w:pPr>
                    <w:rPr>
                      <w:sz w:val="20"/>
                      <w:szCs w:val="20"/>
                      <w:lang w:val="en-GB"/>
                    </w:rPr>
                  </w:pPr>
                  <w:r w:rsidRPr="005104E0">
                    <w:rPr>
                      <w:sz w:val="20"/>
                      <w:szCs w:val="20"/>
                      <w:lang w:val="en-GB"/>
                    </w:rPr>
                    <w:t xml:space="preserve">Also, NAI Data and Voice licences need to be activated on the repeaters. </w:t>
                  </w:r>
                </w:p>
              </w:tc>
            </w:tr>
          </w:tbl>
          <w:p w:rsidR="005104E0" w:rsidRPr="005104E0" w:rsidRDefault="005104E0" w:rsidP="005104E0">
            <w:pPr>
              <w:rPr>
                <w:sz w:val="20"/>
                <w:szCs w:val="20"/>
                <w:lang w:val="en-GB"/>
              </w:rPr>
            </w:pPr>
          </w:p>
        </w:tc>
      </w:tr>
    </w:tbl>
    <w:p w:rsidR="005104E0" w:rsidRPr="005104E0" w:rsidRDefault="005104E0" w:rsidP="005104E0">
      <w:pPr>
        <w:rPr>
          <w:lang w:val="en-GB"/>
        </w:rPr>
      </w:pPr>
    </w:p>
    <w:sectPr w:rsidR="005104E0" w:rsidRPr="00510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41FA2"/>
    <w:multiLevelType w:val="hybridMultilevel"/>
    <w:tmpl w:val="EEFE42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4E0"/>
    <w:rsid w:val="005104E0"/>
    <w:rsid w:val="00C365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104E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104E0"/>
    <w:rPr>
      <w:rFonts w:ascii="Tahoma" w:hAnsi="Tahoma" w:cs="Tahoma"/>
      <w:sz w:val="16"/>
      <w:szCs w:val="16"/>
    </w:rPr>
  </w:style>
  <w:style w:type="paragraph" w:styleId="Listeavsnitt">
    <w:name w:val="List Paragraph"/>
    <w:basedOn w:val="Normal"/>
    <w:uiPriority w:val="34"/>
    <w:qFormat/>
    <w:rsid w:val="005104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104E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104E0"/>
    <w:rPr>
      <w:rFonts w:ascii="Tahoma" w:hAnsi="Tahoma" w:cs="Tahoma"/>
      <w:sz w:val="16"/>
      <w:szCs w:val="16"/>
    </w:rPr>
  </w:style>
  <w:style w:type="paragraph" w:styleId="Listeavsnitt">
    <w:name w:val="List Paragraph"/>
    <w:basedOn w:val="Normal"/>
    <w:uiPriority w:val="34"/>
    <w:qFormat/>
    <w:rsid w:val="00510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493</Words>
  <Characters>2618</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Datamatik AS</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 Ruud</dc:creator>
  <cp:lastModifiedBy>Ove Ruud</cp:lastModifiedBy>
  <cp:revision>1</cp:revision>
  <dcterms:created xsi:type="dcterms:W3CDTF">2014-04-29T19:35:00Z</dcterms:created>
  <dcterms:modified xsi:type="dcterms:W3CDTF">2014-04-29T19:46:00Z</dcterms:modified>
</cp:coreProperties>
</file>